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A"/>
        <w:suppressAutoHyphens w:val="true"/>
        <w:jc w:val="center"/>
        <w:rPr>
          <w:rFonts w:ascii="Arial" w:hAnsi="Arial"/>
          <w:b/>
          <w:bCs/>
          <w:sz w:val="24"/>
          <w:szCs w:val="24"/>
          <w:lang w:val="en-US"/>
        </w:rPr>
      </w:pPr>
      <w:r>
        <w:rPr>
          <w:rFonts w:ascii="Arial" w:hAnsi="Arial"/>
          <w:b/>
          <w:bCs/>
          <w:sz w:val="24"/>
          <w:szCs w:val="24"/>
          <w:lang w:val="en-US"/>
        </w:rPr>
        <w:t>The Night Shelter</w:t>
      </w:r>
    </w:p>
    <w:p>
      <w:pPr>
        <w:pStyle w:val="BodyA"/>
        <w:suppressAutoHyphens w:val="true"/>
        <w:jc w:val="center"/>
        <w:rPr/>
      </w:pPr>
      <w:r>
        <w:rPr>
          <w:rFonts w:ascii="Arial" w:hAnsi="Arial"/>
          <w:b/>
          <w:bCs/>
          <w:sz w:val="24"/>
          <w:szCs w:val="24"/>
        </w:rPr>
        <w:t>Equality and Diversity Policies &amp; Procedures</w:t>
      </w:r>
    </w:p>
    <w:p>
      <w:pPr>
        <w:pStyle w:val="BodyA"/>
        <w:suppressAutoHyphens w:val="true"/>
        <w:jc w:val="right"/>
        <w:rPr>
          <w:rFonts w:ascii="Arial" w:hAnsi="Arial" w:eastAsia="Arial" w:cs="Arial"/>
          <w:b/>
          <w:bCs/>
          <w:sz w:val="24"/>
          <w:szCs w:val="24"/>
        </w:rPr>
      </w:pPr>
      <w:r>
        <w:rPr>
          <w:rFonts w:eastAsia="Arial" w:cs="Arial" w:ascii="Arial" w:hAnsi="Arial"/>
          <w:b/>
          <w:bCs/>
          <w:sz w:val="24"/>
          <w:szCs w:val="24"/>
        </w:rPr>
      </w:r>
    </w:p>
    <w:p>
      <w:pPr>
        <w:pStyle w:val="BodyA"/>
        <w:suppressAutoHyphens w:val="true"/>
        <w:jc w:val="right"/>
        <w:rPr>
          <w:rFonts w:ascii="Arial" w:hAnsi="Arial" w:eastAsia="Arial" w:cs="Arial"/>
        </w:rPr>
      </w:pPr>
      <w:r>
        <w:rPr>
          <w:rFonts w:eastAsia="Arial" w:cs="Arial" w:ascii="Arial" w:hAnsi="Arial"/>
        </w:rPr>
      </w:r>
    </w:p>
    <w:p>
      <w:pPr>
        <w:pStyle w:val="BodyA"/>
        <w:numPr>
          <w:ilvl w:val="0"/>
          <w:numId w:val="1"/>
        </w:numPr>
        <w:rPr>
          <w:rFonts w:ascii="Arial" w:hAnsi="Arial"/>
          <w:b/>
          <w:bCs/>
        </w:rPr>
      </w:pPr>
      <w:r>
        <w:rPr>
          <w:rFonts w:ascii="Arial" w:hAnsi="Arial"/>
          <w:b/>
          <w:bCs/>
        </w:rPr>
        <w:t xml:space="preserve">Policy Statement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The Night Shelter aims to promote equality and diversity among volunteers and beneficiaries, and seeks to ensure that equality and diversity principles underpin all areas of the organisation’s work and services.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The Night Shelter recognises that many people and groups suffer discrimination and face serious barriers when trying to fulfill their true potential. The Night Shelter also recognises that not all forms of unreasonable and unfair discrimination are the subject of legislation. It is the aim of this organisation to take positive steps to redress discrimination, to improve equality of opportunity and to combat any unreasonable or unfair treatment which places people at a disadvantage for any reasons not directly related to their ability to carry out their duties or to their eligibility to receive services from The Night Shelter.</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The Night Shelter accepts its responsibility to operate within the terms of the Equality Act 2010 which makes it unlawful to discriminate against people on the basis of the following ‘protected characteristics’: </w:t>
      </w:r>
    </w:p>
    <w:p>
      <w:pPr>
        <w:pStyle w:val="BodyA"/>
        <w:numPr>
          <w:ilvl w:val="3"/>
          <w:numId w:val="1"/>
        </w:numPr>
        <w:rPr>
          <w:rFonts w:ascii="Arial" w:hAnsi="Arial"/>
        </w:rPr>
      </w:pPr>
      <w:r>
        <w:rPr>
          <w:rFonts w:ascii="Arial" w:hAnsi="Arial"/>
        </w:rPr>
        <w:t xml:space="preserve">Sex, </w:t>
      </w:r>
    </w:p>
    <w:p>
      <w:pPr>
        <w:pStyle w:val="BodyA"/>
        <w:numPr>
          <w:ilvl w:val="3"/>
          <w:numId w:val="1"/>
        </w:numPr>
        <w:rPr>
          <w:rFonts w:ascii="Arial" w:hAnsi="Arial"/>
        </w:rPr>
      </w:pPr>
      <w:r>
        <w:rPr>
          <w:rFonts w:ascii="Arial" w:hAnsi="Arial"/>
        </w:rPr>
        <w:t xml:space="preserve">Sexual orientation; </w:t>
      </w:r>
    </w:p>
    <w:p>
      <w:pPr>
        <w:pStyle w:val="BodyA"/>
        <w:numPr>
          <w:ilvl w:val="3"/>
          <w:numId w:val="1"/>
        </w:numPr>
        <w:rPr>
          <w:rFonts w:ascii="Arial" w:hAnsi="Arial"/>
        </w:rPr>
      </w:pPr>
      <w:r>
        <w:rPr>
          <w:rFonts w:ascii="Arial" w:hAnsi="Arial"/>
        </w:rPr>
        <w:t>Marriage or civil partnership;</w:t>
      </w:r>
    </w:p>
    <w:p>
      <w:pPr>
        <w:pStyle w:val="BodyA"/>
        <w:numPr>
          <w:ilvl w:val="3"/>
          <w:numId w:val="1"/>
        </w:numPr>
        <w:rPr>
          <w:rFonts w:ascii="Arial" w:hAnsi="Arial"/>
        </w:rPr>
      </w:pPr>
      <w:r>
        <w:rPr>
          <w:rFonts w:ascii="Arial" w:hAnsi="Arial"/>
        </w:rPr>
        <w:t xml:space="preserve">Gender reassignment; </w:t>
      </w:r>
    </w:p>
    <w:p>
      <w:pPr>
        <w:pStyle w:val="BodyA"/>
        <w:numPr>
          <w:ilvl w:val="3"/>
          <w:numId w:val="1"/>
        </w:numPr>
        <w:rPr>
          <w:rFonts w:ascii="Arial" w:hAnsi="Arial"/>
        </w:rPr>
      </w:pPr>
      <w:r>
        <w:rPr>
          <w:rFonts w:ascii="Arial" w:hAnsi="Arial"/>
        </w:rPr>
        <w:t xml:space="preserve">Race (including colour, nationality, ethnic or national origin); </w:t>
      </w:r>
    </w:p>
    <w:p>
      <w:pPr>
        <w:pStyle w:val="BodyA"/>
        <w:numPr>
          <w:ilvl w:val="3"/>
          <w:numId w:val="1"/>
        </w:numPr>
        <w:rPr>
          <w:rFonts w:ascii="Arial" w:hAnsi="Arial"/>
        </w:rPr>
      </w:pPr>
      <w:r>
        <w:rPr>
          <w:rFonts w:ascii="Arial" w:hAnsi="Arial"/>
        </w:rPr>
        <w:t xml:space="preserve">Religion or belief; </w:t>
      </w:r>
    </w:p>
    <w:p>
      <w:pPr>
        <w:pStyle w:val="BodyA"/>
        <w:numPr>
          <w:ilvl w:val="3"/>
          <w:numId w:val="1"/>
        </w:numPr>
        <w:rPr>
          <w:rFonts w:ascii="Arial" w:hAnsi="Arial"/>
        </w:rPr>
      </w:pPr>
      <w:r>
        <w:rPr>
          <w:rFonts w:ascii="Arial" w:hAnsi="Arial"/>
        </w:rPr>
        <w:t xml:space="preserve">Age; </w:t>
      </w:r>
    </w:p>
    <w:p>
      <w:pPr>
        <w:pStyle w:val="BodyA"/>
        <w:numPr>
          <w:ilvl w:val="3"/>
          <w:numId w:val="1"/>
        </w:numPr>
        <w:rPr>
          <w:rFonts w:ascii="Arial" w:hAnsi="Arial"/>
        </w:rPr>
      </w:pPr>
      <w:r>
        <w:rPr>
          <w:rFonts w:ascii="Arial" w:hAnsi="Arial"/>
        </w:rPr>
        <w:t>Disability; and</w:t>
      </w:r>
    </w:p>
    <w:p>
      <w:pPr>
        <w:pStyle w:val="BodyA"/>
        <w:numPr>
          <w:ilvl w:val="3"/>
          <w:numId w:val="1"/>
        </w:numPr>
        <w:rPr>
          <w:rFonts w:ascii="Arial" w:hAnsi="Arial"/>
        </w:rPr>
      </w:pPr>
      <w:r>
        <w:rPr>
          <w:rFonts w:ascii="Arial" w:hAnsi="Arial"/>
        </w:rPr>
        <w:t xml:space="preserve">Pregnancy and maternity.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However, The Night Shelter also recognises that people may experience discrimination for additional reasons not covered by the law, for example, because of language, immigration status, social, educational and economic reasons.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The Night Shelter recognises that the Equality Act defines different types of unlawful discrimination. The Night Shelter  will introduce and implement measures to prevent direct, indirect, associative and perceptive discrimination in its organisational practice and also in its service delivery. </w:t>
      </w:r>
    </w:p>
    <w:p>
      <w:pPr>
        <w:pStyle w:val="BodyA"/>
        <w:numPr>
          <w:ilvl w:val="0"/>
          <w:numId w:val="0"/>
        </w:numPr>
        <w:ind w:hanging="0" w:left="660"/>
        <w:rPr>
          <w:rFonts w:ascii="Arial" w:hAnsi="Arial"/>
        </w:rPr>
      </w:pPr>
      <w:r>
        <w:rPr>
          <w:rFonts w:ascii="Arial" w:hAnsi="Arial"/>
        </w:rPr>
      </w:r>
    </w:p>
    <w:p>
      <w:pPr>
        <w:pStyle w:val="BodyA"/>
        <w:numPr>
          <w:ilvl w:val="1"/>
          <w:numId w:val="1"/>
        </w:numPr>
        <w:rPr>
          <w:rFonts w:ascii="Arial" w:hAnsi="Arial"/>
        </w:rPr>
      </w:pPr>
      <w:r>
        <w:rPr>
          <w:rFonts w:ascii="Arial" w:hAnsi="Arial"/>
        </w:rPr>
        <w:t>This will include harassment defined as unwanted conduct with the purpose or effect of violating the dignity of another person or creating a negative environment. This includes but is not limited to unwanted physical contact, spreading malicious rumours or offensive comments or jokes.</w:t>
      </w:r>
    </w:p>
    <w:p>
      <w:pPr>
        <w:pStyle w:val="BodyA"/>
        <w:numPr>
          <w:ilvl w:val="0"/>
          <w:numId w:val="0"/>
        </w:numPr>
        <w:ind w:hanging="0" w:left="660"/>
        <w:rPr>
          <w:rFonts w:ascii="Arial" w:hAnsi="Arial"/>
        </w:rPr>
      </w:pPr>
      <w:r>
        <w:rPr>
          <w:rFonts w:ascii="Arial" w:hAnsi="Arial"/>
        </w:rPr>
      </w:r>
    </w:p>
    <w:p>
      <w:pPr>
        <w:pStyle w:val="BodyA"/>
        <w:numPr>
          <w:ilvl w:val="1"/>
          <w:numId w:val="1"/>
        </w:numPr>
        <w:rPr>
          <w:rFonts w:ascii="Arial" w:hAnsi="Arial"/>
        </w:rPr>
      </w:pPr>
      <w:r>
        <w:rPr>
          <w:rFonts w:ascii="Arial" w:hAnsi="Arial"/>
        </w:rPr>
        <w:t xml:space="preserve">The Night Shelter recognises its duty to make ‘reasonable adjustments’ to accommodate people’s disabilities. The Night Shelter also strives to include asylum seeker and refugee communities who experience many barriers to opportunities and services.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The Night Shelter aims to ensure that its Trustee Board, collectively, have sufficient knowledge and information about people who are migrants and refugees in this country and there experiences so that its activities and services can correspond to their needs. The Night Shelter will always include the voices of members of refugee and asylum seeking communities to this effect.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The Night Shelter takes very seriously instances where any service users feel or express that The Night Shelter has not met the values expressed in this statement. Service users in this situation will be given every opportunity to express their concerns </w:t>
      </w:r>
      <w:r>
        <w:rPr>
          <w:rFonts w:ascii="Arial" w:hAnsi="Arial"/>
          <w:shd w:fill="auto" w:val="clear"/>
        </w:rPr>
        <w:t xml:space="preserve">and provided with a copy of The Night Shelter’s complaints policy. </w:t>
      </w:r>
    </w:p>
    <w:p>
      <w:pPr>
        <w:pStyle w:val="BodyA"/>
        <w:rPr>
          <w:rFonts w:ascii="Arial" w:hAnsi="Arial" w:eastAsia="Arial" w:cs="Arial"/>
        </w:rPr>
      </w:pPr>
      <w:r>
        <w:rPr>
          <w:rFonts w:eastAsia="Arial" w:cs="Arial" w:ascii="Arial" w:hAnsi="Arial"/>
        </w:rPr>
      </w:r>
    </w:p>
    <w:p>
      <w:pPr>
        <w:pStyle w:val="BodyA"/>
        <w:numPr>
          <w:ilvl w:val="0"/>
          <w:numId w:val="1"/>
        </w:numPr>
        <w:rPr>
          <w:rFonts w:ascii="Arial" w:hAnsi="Arial"/>
          <w:b/>
          <w:bCs/>
        </w:rPr>
      </w:pPr>
      <w:r>
        <w:rPr>
          <w:rFonts w:ascii="Arial" w:hAnsi="Arial"/>
          <w:b/>
          <w:bCs/>
        </w:rPr>
        <w:t>The Scope of the Policy</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This policy applies to:</w:t>
      </w:r>
    </w:p>
    <w:p>
      <w:pPr>
        <w:pStyle w:val="BodyA"/>
        <w:numPr>
          <w:ilvl w:val="3"/>
          <w:numId w:val="1"/>
        </w:numPr>
        <w:rPr>
          <w:rFonts w:ascii="Arial" w:hAnsi="Arial"/>
        </w:rPr>
      </w:pPr>
      <w:r>
        <w:rPr>
          <w:rFonts w:ascii="Arial" w:hAnsi="Arial"/>
        </w:rPr>
        <w:t>All staff members employed by The Night Shelter (if relevant);</w:t>
      </w:r>
    </w:p>
    <w:p>
      <w:pPr>
        <w:pStyle w:val="BodyA"/>
        <w:numPr>
          <w:ilvl w:val="3"/>
          <w:numId w:val="1"/>
        </w:numPr>
        <w:rPr>
          <w:rFonts w:ascii="Arial" w:hAnsi="Arial"/>
        </w:rPr>
      </w:pPr>
      <w:r>
        <w:rPr>
          <w:rFonts w:ascii="Arial" w:hAnsi="Arial"/>
        </w:rPr>
        <w:t>All members of the The Night Shelter management and volunteers;</w:t>
      </w:r>
    </w:p>
    <w:p>
      <w:pPr>
        <w:pStyle w:val="BodyA"/>
        <w:numPr>
          <w:ilvl w:val="3"/>
          <w:numId w:val="1"/>
        </w:numPr>
        <w:rPr>
          <w:rFonts w:ascii="Arial" w:hAnsi="Arial"/>
        </w:rPr>
      </w:pPr>
      <w:r>
        <w:rPr>
          <w:rFonts w:ascii="Arial" w:hAnsi="Arial"/>
        </w:rPr>
        <w:t>All aspects of service delivery and work of The Night Shelter; and</w:t>
      </w:r>
    </w:p>
    <w:p>
      <w:pPr>
        <w:pStyle w:val="BodyA"/>
        <w:numPr>
          <w:ilvl w:val="3"/>
          <w:numId w:val="1"/>
        </w:numPr>
        <w:rPr>
          <w:rFonts w:ascii="Arial" w:hAnsi="Arial"/>
        </w:rPr>
      </w:pPr>
      <w:r>
        <w:rPr>
          <w:rFonts w:ascii="Arial" w:hAnsi="Arial"/>
        </w:rPr>
        <w:t xml:space="preserve">All organisations The Night Shelter works in partnership with.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The Trustees have ultimate responsibility for the Equality and Diversity policy, however Trustees may nominate a Trustee to implement, monitor and evaluate the policy in terms of employment practice and service delivery.</w:t>
      </w:r>
    </w:p>
    <w:p>
      <w:pPr>
        <w:pStyle w:val="BodyA"/>
        <w:rPr>
          <w:rFonts w:ascii="Arial" w:hAnsi="Arial" w:eastAsia="Arial" w:cs="Arial"/>
        </w:rPr>
      </w:pPr>
      <w:r>
        <w:rPr>
          <w:rFonts w:eastAsia="Arial" w:cs="Arial" w:ascii="Arial" w:hAnsi="Arial"/>
        </w:rPr>
      </w:r>
    </w:p>
    <w:p>
      <w:pPr>
        <w:pStyle w:val="BodyA"/>
        <w:numPr>
          <w:ilvl w:val="0"/>
          <w:numId w:val="1"/>
        </w:numPr>
        <w:rPr>
          <w:rFonts w:ascii="Arial" w:hAnsi="Arial"/>
          <w:b/>
          <w:bCs/>
        </w:rPr>
      </w:pPr>
      <w:r>
        <w:rPr>
          <w:rFonts w:ascii="Arial" w:hAnsi="Arial"/>
          <w:b/>
          <w:bCs/>
        </w:rPr>
        <w:t xml:space="preserve">Policy on Service Delivery </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Publicity of the Equality and Diversity Policy</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The Night Shelter will publicise its Equality and Diversity Policy on its website and make sure it is accessible to all who engage with the organisation.</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The Night Shelter will deliver all its services in an accessible manner as much as its resources allow.</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Consultation with beneficiaries about services</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 xml:space="preserve">The Night Shelter will consult its beneficiaries so that it can find out if it is successful in delivering its services and making a positive difference as a result of its work. The result of these consultations are vital in shaping the way The Night Shelter will work in the future.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The Night Shelter will consult its beneficiaries through regular house meetings, shared meetings with Trustees, and occasional one-to-one conversations.</w:t>
      </w:r>
    </w:p>
    <w:p>
      <w:pPr>
        <w:pStyle w:val="BodyA"/>
        <w:rPr>
          <w:rFonts w:ascii="Arial" w:hAnsi="Arial" w:eastAsia="Arial" w:cs="Arial"/>
          <w:b/>
          <w:bCs/>
        </w:rPr>
      </w:pPr>
      <w:r>
        <w:rPr>
          <w:rFonts w:eastAsia="Arial" w:cs="Arial" w:ascii="Arial" w:hAnsi="Arial"/>
          <w:b/>
          <w:bCs/>
        </w:rPr>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Challenging discriminatory behaviour</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The Night Shelter</w:t>
      </w:r>
      <w:r>
        <w:rPr>
          <w:rFonts w:ascii="Arial" w:hAnsi="Arial"/>
        </w:rPr>
        <w:t xml:space="preserve"> is committed to opposing any discrimination and it expects the same commitment to anti-discriminatory practice from all its members and beneficiaries. The Night Shelter Trustees and volunteers will challenge discriminatory comments or attitudes in an appropriate way, bearing in mind the vulnerability of some beneficiaries.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 xml:space="preserve">If the matter is not resolved, they should report it to the Trustees who will consider the issue and take appropriate action, including raising the issue with the person involved first verbally, then in writing. </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Right to withdraw service</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 xml:space="preserve">If the matter relates to discriminatory behavior by a beneficiary and is not resolved by the Trustees, The Night Shelter reserves the right to withdraw the service.  If the beneficiary is not happy with the Trustees decision, they should follow The Night Shelter’s complaints procedures.  </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How service users make complaints</w:t>
      </w:r>
    </w:p>
    <w:p>
      <w:pPr>
        <w:pStyle w:val="BodyA"/>
        <w:rPr>
          <w:rFonts w:ascii="Arial" w:hAnsi="Arial" w:eastAsia="Arial" w:cs="Arial"/>
          <w:b/>
          <w:bCs/>
          <w:highlight w:val="none"/>
          <w:shd w:fill="auto" w:val="clear"/>
        </w:rPr>
      </w:pPr>
      <w:r>
        <w:rPr>
          <w:rFonts w:eastAsia="Arial" w:cs="Arial" w:ascii="Arial" w:hAnsi="Arial"/>
          <w:b/>
          <w:bCs/>
          <w:shd w:fill="auto" w:val="clear"/>
        </w:rPr>
      </w:r>
    </w:p>
    <w:p>
      <w:pPr>
        <w:pStyle w:val="BodyA"/>
        <w:numPr>
          <w:ilvl w:val="1"/>
          <w:numId w:val="1"/>
        </w:numPr>
        <w:rPr>
          <w:highlight w:val="none"/>
          <w:shd w:fill="auto" w:val="clear"/>
        </w:rPr>
      </w:pPr>
      <w:r>
        <w:rPr>
          <w:rFonts w:ascii="Arial" w:hAnsi="Arial"/>
          <w:shd w:fill="auto" w:val="clear"/>
        </w:rPr>
        <w:t>If the service users feel that they were treated by The Night Shelter in a discriminatory manner and wish to complain, they can raise a complaint through the complaints procedure. The complaints policy will be available and provided There will be an annual review of all complaints by the Trustees to consider any areas for improvement in the service.</w:t>
      </w:r>
    </w:p>
    <w:p>
      <w:pPr>
        <w:pStyle w:val="BodyA"/>
        <w:rPr>
          <w:rFonts w:ascii="Arial" w:hAnsi="Arial" w:eastAsia="Arial" w:cs="Arial"/>
        </w:rPr>
      </w:pPr>
      <w:r>
        <w:rPr>
          <w:rFonts w:eastAsia="Arial" w:cs="Arial" w:ascii="Arial" w:hAnsi="Arial"/>
        </w:rPr>
      </w:r>
    </w:p>
    <w:p>
      <w:pPr>
        <w:pStyle w:val="BodyA"/>
        <w:numPr>
          <w:ilvl w:val="0"/>
          <w:numId w:val="1"/>
        </w:numPr>
        <w:rPr>
          <w:rFonts w:ascii="Arial" w:hAnsi="Arial"/>
          <w:b/>
          <w:bCs/>
        </w:rPr>
      </w:pPr>
      <w:r>
        <w:rPr>
          <w:rFonts w:ascii="Arial" w:hAnsi="Arial"/>
          <w:b/>
          <w:bCs/>
        </w:rPr>
        <w:t>Developing, implementing, monitoring and reviewing Equal Opportunities</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It is the responsibility of the Trustee Group to develop, implement, monitor and review Equal Opportunities at The Night Shelter, with the support of all those involved in the project.</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New projects and service development</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 xml:space="preserve">In its process for formulating strategic and delivery plans, the Trustees will consider what practical implications there might be for, and ensure that all work adheres to, this Equality and Diversity Policy. This includes any implications in terms of resources needed to carry out The Night Shelter’s plans. </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Implementation</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 xml:space="preserve">The Trustees will ensure Equal Opportunities are adhered to in all aspects of The Night Shelter’s activities through annual monitoring and reviewing. </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The Trustees will also ensure that all Night Shelter practice and procedure is undertaken strictly in accordance with the Equality Act 2010 and the Rehabilitation of Offenders Act 1974</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How do we monitor and review Equal Opportunities?</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 xml:space="preserve">If as a result of monitoring and reviewing, the Trustees are not satisfied that the Equality and Diversity Policy is being adhered to within the organisation, they will appoint a Trustee who will take the following steps to ensure that The Night Shelter achieves greater equality:  </w:t>
      </w:r>
    </w:p>
    <w:p>
      <w:pPr>
        <w:pStyle w:val="BodyA"/>
        <w:numPr>
          <w:ilvl w:val="3"/>
          <w:numId w:val="1"/>
        </w:numPr>
        <w:rPr>
          <w:rFonts w:ascii="Arial" w:hAnsi="Arial"/>
        </w:rPr>
      </w:pPr>
      <w:r>
        <w:rPr>
          <w:rFonts w:ascii="Arial" w:hAnsi="Arial"/>
        </w:rPr>
        <w:t>Devise and advise on organisational priorities;</w:t>
      </w:r>
    </w:p>
    <w:p>
      <w:pPr>
        <w:pStyle w:val="BodyA"/>
        <w:numPr>
          <w:ilvl w:val="3"/>
          <w:numId w:val="1"/>
        </w:numPr>
        <w:rPr>
          <w:rFonts w:ascii="Arial" w:hAnsi="Arial"/>
        </w:rPr>
      </w:pPr>
      <w:r>
        <w:rPr>
          <w:rFonts w:ascii="Arial" w:hAnsi="Arial"/>
        </w:rPr>
        <w:t>Make recommendations to the Management Committee;</w:t>
      </w:r>
    </w:p>
    <w:p>
      <w:pPr>
        <w:pStyle w:val="BodyA"/>
        <w:numPr>
          <w:ilvl w:val="3"/>
          <w:numId w:val="1"/>
        </w:numPr>
        <w:rPr>
          <w:rFonts w:ascii="Arial" w:hAnsi="Arial"/>
        </w:rPr>
      </w:pPr>
      <w:r>
        <w:rPr>
          <w:rFonts w:ascii="Arial" w:hAnsi="Arial"/>
        </w:rPr>
        <w:t>Oversee the work and pursue the recommendations of the Management Committee;</w:t>
      </w:r>
    </w:p>
    <w:p>
      <w:pPr>
        <w:pStyle w:val="BodyA"/>
        <w:numPr>
          <w:ilvl w:val="3"/>
          <w:numId w:val="1"/>
        </w:numPr>
        <w:rPr>
          <w:rFonts w:ascii="Arial" w:hAnsi="Arial"/>
        </w:rPr>
      </w:pPr>
      <w:r>
        <w:rPr>
          <w:rFonts w:ascii="Arial" w:hAnsi="Arial"/>
        </w:rPr>
        <w:t>Oversee priorities and performance of the organisation as a whole; and</w:t>
      </w:r>
    </w:p>
    <w:p>
      <w:pPr>
        <w:pStyle w:val="BodyA"/>
        <w:numPr>
          <w:ilvl w:val="3"/>
          <w:numId w:val="1"/>
        </w:numPr>
        <w:rPr>
          <w:rFonts w:ascii="Arial" w:hAnsi="Arial"/>
        </w:rPr>
      </w:pPr>
      <w:r>
        <w:rPr>
          <w:rFonts w:ascii="Arial" w:hAnsi="Arial"/>
        </w:rPr>
        <w:t>Report back to the Trustees.</w:t>
      </w:r>
    </w:p>
    <w:p>
      <w:pPr>
        <w:pStyle w:val="BodyA"/>
        <w:rPr>
          <w:rFonts w:ascii="Arial" w:hAnsi="Arial" w:eastAsia="Arial" w:cs="Arial"/>
        </w:rPr>
      </w:pPr>
      <w:r>
        <w:rPr>
          <w:rFonts w:eastAsia="Arial" w:cs="Arial" w:ascii="Arial" w:hAnsi="Arial"/>
        </w:rPr>
      </w:r>
    </w:p>
    <w:p>
      <w:pPr>
        <w:pStyle w:val="BodyA"/>
        <w:rPr>
          <w:rFonts w:ascii="Arial" w:hAnsi="Arial" w:eastAsia="Arial" w:cs="Arial"/>
          <w:b/>
          <w:bCs/>
        </w:rPr>
      </w:pPr>
      <w:r>
        <w:rPr>
          <w:rFonts w:ascii="Arial" w:hAnsi="Arial"/>
          <w:b/>
          <w:bCs/>
        </w:rPr>
        <w:t xml:space="preserve">Distributing and Reviewing the Policy </w:t>
      </w:r>
    </w:p>
    <w:p>
      <w:pPr>
        <w:pStyle w:val="BodyA"/>
        <w:rPr>
          <w:rFonts w:ascii="Arial" w:hAnsi="Arial" w:eastAsia="Arial" w:cs="Arial"/>
          <w:b/>
          <w:bCs/>
        </w:rPr>
      </w:pPr>
      <w:r>
        <w:rPr>
          <w:rFonts w:eastAsia="Arial" w:cs="Arial" w:ascii="Arial" w:hAnsi="Arial"/>
          <w:b/>
          <w:bCs/>
        </w:rPr>
      </w:r>
    </w:p>
    <w:p>
      <w:pPr>
        <w:pStyle w:val="BodyA"/>
        <w:numPr>
          <w:ilvl w:val="1"/>
          <w:numId w:val="1"/>
        </w:numPr>
        <w:rPr>
          <w:rFonts w:ascii="Arial" w:hAnsi="Arial"/>
        </w:rPr>
      </w:pPr>
      <w:r>
        <w:rPr>
          <w:rFonts w:ascii="Arial" w:hAnsi="Arial"/>
        </w:rPr>
        <w:t>This policy should be circulated to all Night Shelter Trustees, volunteers and those working with the project. It will be available to all beneficiaries and partner organisations.</w:t>
      </w:r>
    </w:p>
    <w:p>
      <w:pPr>
        <w:pStyle w:val="BodyA"/>
        <w:rPr>
          <w:rFonts w:ascii="Arial" w:hAnsi="Arial" w:eastAsia="Arial" w:cs="Arial"/>
        </w:rPr>
      </w:pPr>
      <w:r>
        <w:rPr>
          <w:rFonts w:eastAsia="Arial" w:cs="Arial" w:ascii="Arial" w:hAnsi="Arial"/>
        </w:rPr>
      </w:r>
    </w:p>
    <w:p>
      <w:pPr>
        <w:pStyle w:val="BodyA"/>
        <w:numPr>
          <w:ilvl w:val="1"/>
          <w:numId w:val="1"/>
        </w:numPr>
        <w:rPr>
          <w:rFonts w:ascii="Arial" w:hAnsi="Arial"/>
        </w:rPr>
      </w:pPr>
      <w:r>
        <w:rPr>
          <w:rFonts w:ascii="Arial" w:hAnsi="Arial"/>
        </w:rPr>
        <w:t>This policy will be reviewed annually by the Trustees</w:t>
      </w:r>
    </w:p>
    <w:p>
      <w:pPr>
        <w:pStyle w:val="BodyA"/>
        <w:rPr>
          <w:rFonts w:ascii="Arial" w:hAnsi="Arial" w:eastAsia="Arial" w:cs="Arial"/>
        </w:rPr>
      </w:pPr>
      <w:r>
        <w:rPr>
          <w:rFonts w:eastAsia="Arial" w:cs="Arial" w:ascii="Arial" w:hAnsi="Arial"/>
        </w:rPr>
      </w:r>
    </w:p>
    <w:p>
      <w:pPr>
        <w:pStyle w:val="Body"/>
        <w:rPr>
          <w:rFonts w:ascii="Calibri" w:hAnsi="Calibri" w:eastAsia="Calibri" w:cs="Calibri"/>
          <w:sz w:val="24"/>
          <w:szCs w:val="24"/>
          <w:lang w:val="en-US"/>
        </w:rPr>
      </w:pPr>
      <w:r>
        <w:rPr>
          <w:rFonts w:eastAsia="Calibri" w:cs="Calibri" w:ascii="Calibri" w:hAnsi="Calibri"/>
          <w:sz w:val="24"/>
          <w:szCs w:val="24"/>
          <w:lang w:val="en-US"/>
        </w:rPr>
        <w:t>Policy adopted June 2026</w:t>
      </w:r>
    </w:p>
    <w:p>
      <w:pPr>
        <w:pStyle w:val="BodyA"/>
        <w:rPr/>
      </w:pPr>
      <w:r>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709" w:top="1134" w:footer="85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Helvetica Neue">
    <w:charset w:val="00"/>
    <w:family w:val="roman"/>
    <w:pitch w:val="variable"/>
  </w:font>
  <w:font w:name="Calibri">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60" w:hanging="660"/>
      </w:pPr>
      <w:rPr>
        <w:smallCaps w:val="false"/>
        <w:caps w:val="false"/>
        <w:outline w:val="false"/>
        <w:dstrike w:val="false"/>
        <w:strike w:val="false"/>
        <w:vertAlign w:val="baseline"/>
        <w:position w:val="0"/>
        <w:sz w:val="20"/>
        <w:sz w:val="20"/>
        <w:spacing w:val="0"/>
        <w:i w:val="false"/>
        <w:b/>
        <w:kern w:val="0"/>
        <w:iCs w:val="false"/>
        <w:bCs/>
        <w:w w:val="100"/>
        <w:emboss w:val="false"/>
        <w:imprint w:val="false"/>
        <w:rFonts w:ascii="Arial" w:hAnsi="Arial" w:eastAsia="Arial" w:cs="Arial"/>
        <w:color w:val="000000"/>
      </w:rPr>
    </w:lvl>
    <w:lvl w:ilvl="1">
      <w:start w:val="1"/>
      <w:numFmt w:val="decimal"/>
      <w:lvlText w:val="%1.%2."/>
      <w:lvlJc w:val="left"/>
      <w:pPr>
        <w:tabs>
          <w:tab w:val="num" w:pos="0"/>
        </w:tabs>
        <w:ind w:left="660"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2">
      <w:start w:val="1"/>
      <w:numFmt w:val="lowerLetter"/>
      <w:lvlText w:val="%1.%2.(%3)"/>
      <w:lvlJc w:val="left"/>
      <w:pPr>
        <w:tabs>
          <w:tab w:val="num" w:pos="0"/>
        </w:tabs>
        <w:ind w:left="660"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3">
      <w:start w:val="1"/>
      <w:numFmt w:val="lowerLetter"/>
      <w:lvlText w:val="(%4)"/>
      <w:lvlJc w:val="left"/>
      <w:pPr>
        <w:tabs>
          <w:tab w:val="num" w:pos="0"/>
        </w:tabs>
        <w:ind w:left="1751"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4">
      <w:start w:val="1"/>
      <w:numFmt w:val="upperLetter"/>
      <w:lvlText w:val="(%5)"/>
      <w:lvlJc w:val="left"/>
      <w:pPr>
        <w:tabs>
          <w:tab w:val="num" w:pos="0"/>
        </w:tabs>
        <w:ind w:left="2100"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5">
      <w:start w:val="1"/>
      <w:numFmt w:val="upperRoman"/>
      <w:lvlText w:val="(%6)"/>
      <w:lvlJc w:val="left"/>
      <w:pPr>
        <w:tabs>
          <w:tab w:val="num" w:pos="0"/>
        </w:tabs>
        <w:ind w:left="2851" w:hanging="32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6">
      <w:start w:val="1"/>
      <w:numFmt w:val="lowerLetter"/>
      <w:lvlText w:val="(%7)"/>
      <w:lvlJc w:val="left"/>
      <w:pPr>
        <w:tabs>
          <w:tab w:val="num" w:pos="0"/>
        </w:tabs>
        <w:ind w:left="3540"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7">
      <w:start w:val="1"/>
      <w:numFmt w:val="decimal"/>
      <w:lvlText w:val="(%8)"/>
      <w:lvlJc w:val="left"/>
      <w:pPr>
        <w:tabs>
          <w:tab w:val="num" w:pos="0"/>
        </w:tabs>
        <w:ind w:left="4260"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lvl w:ilvl="8">
      <w:start w:val="1"/>
      <w:numFmt w:val="lowerRoman"/>
      <w:lvlText w:val="%9)"/>
      <w:lvlJc w:val="left"/>
      <w:pPr>
        <w:tabs>
          <w:tab w:val="num" w:pos="0"/>
        </w:tabs>
        <w:ind w:left="5700" w:hanging="660"/>
      </w:pPr>
      <w:rPr>
        <w:smallCaps w:val="false"/>
        <w:caps w:val="false"/>
        <w:outline w:val="false"/>
        <w:dstrike w:val="false"/>
        <w:strike w:val="false"/>
        <w:vertAlign w:val="baseline"/>
        <w:position w:val="0"/>
        <w:sz w:val="20"/>
        <w:sz w:val="20"/>
        <w:spacing w:val="0"/>
        <w:i w:val="false"/>
        <w:b w:val="false"/>
        <w:kern w:val="0"/>
        <w:iCs w:val="false"/>
        <w:bCs w:val="false"/>
        <w:w w:val="100"/>
        <w:emboss w:val="false"/>
        <w:imprint w:val="false"/>
        <w:rFonts w:ascii="Arial" w:hAnsi="Arial" w:eastAsia="Arial" w:cs="Arial"/>
        <w:color w:val="00000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Times New Roman" w:hAnsi="Times New Roman" w:eastAsia="Arial Unicode MS"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Footer" w:customStyle="1">
    <w:name w:val="Header &amp; Footer"/>
    <w:qFormat/>
    <w:pPr>
      <w:widowControl/>
      <w:tabs>
        <w:tab w:val="clear" w:pos="720"/>
        <w:tab w:val="right" w:pos="9020" w:leader="none"/>
      </w:tabs>
      <w:suppressAutoHyphens w:val="true"/>
      <w:bidi w:val="0"/>
      <w:spacing w:before="0" w:after="0"/>
      <w:jc w:val="left"/>
    </w:pPr>
    <w:rPr>
      <w:rFonts w:ascii="Helvetica Neue" w:hAnsi="Helvetica Neue" w:eastAsia="Arial Unicode MS" w:cs="Arial Unicode MS"/>
      <w:color w:val="000000"/>
      <w:kern w:val="0"/>
      <w:sz w:val="24"/>
      <w:szCs w:val="24"/>
      <w:lang w:val="en-GB" w:eastAsia="en-GB" w:bidi="ar-SA"/>
      <w14:textOutline w14:w="0" w14:cap="flat" w14:cmpd="sng" w14:algn="ctr">
        <w14:noFill/>
        <w14:prstDash w14:val="solid"/>
        <w14:bevel/>
      </w14:textOutline>
    </w:rPr>
  </w:style>
  <w:style w:type="paragraph" w:styleId="BodyA" w:customStyle="1">
    <w:name w:val="Body A"/>
    <w:qFormat/>
    <w:pPr>
      <w:widowControl/>
      <w:suppressAutoHyphens w:val="true"/>
      <w:bidi w:val="0"/>
      <w:spacing w:before="0" w:after="0"/>
      <w:jc w:val="left"/>
    </w:pPr>
    <w:rPr>
      <w:rFonts w:ascii="Helvetica Neue" w:hAnsi="Helvetica Neue" w:eastAsia="Arial Unicode MS" w:cs="Arial Unicode MS"/>
      <w:color w:val="000000"/>
      <w:kern w:val="0"/>
      <w:sz w:val="22"/>
      <w:szCs w:val="22"/>
      <w:u w:val="none" w:color="000000"/>
      <w:lang w:val="en-US" w:eastAsia="en-GB" w:bidi="ar-SA"/>
      <w14:textOutline w14:w="0" w14:cap="flat" w14:cmpd="sng" w14:algn="ctr">
        <w14:noFill/>
        <w14:prstDash w14:val="solid"/>
        <w14:bevel/>
      </w14:textOutline>
    </w:rPr>
  </w:style>
  <w:style w:type="paragraph" w:styleId="Body" w:customStyle="1">
    <w:name w:val="Body"/>
    <w:qFormat/>
    <w:rsid w:val="00a93350"/>
    <w:pPr>
      <w:widowControl/>
      <w:suppressAutoHyphens w:val="true"/>
      <w:bidi w:val="0"/>
      <w:spacing w:before="0" w:after="0"/>
      <w:jc w:val="left"/>
    </w:pPr>
    <w:rPr>
      <w:rFonts w:ascii="Helvetica Neue" w:hAnsi="Helvetica Neue" w:eastAsia="Arial Unicode MS" w:cs="Arial Unicode MS"/>
      <w:color w:val="000000"/>
      <w:kern w:val="0"/>
      <w:sz w:val="22"/>
      <w:szCs w:val="22"/>
      <w:lang w:val="en-GB" w:eastAsia="en-GB" w:bidi="ar-SA"/>
      <w14:textOutline w14:w="0" w14:cap="flat" w14:cmpd="sng" w14:algn="ctr">
        <w14:noFill/>
        <w14:prstDash w14:val="solid"/>
        <w14:bevel/>
      </w14:textOutline>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numbering" w:styleId="ImportedStyle1" w:customStyle="1">
    <w:name w:val="Imported Style 1"/>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D18740FB0F84181B0F37C208DA890" ma:contentTypeVersion="14" ma:contentTypeDescription="Create a new document." ma:contentTypeScope="" ma:versionID="8551e2be8e0f4915e157949583ceb243">
  <xsd:schema xmlns:xsd="http://www.w3.org/2001/XMLSchema" xmlns:xs="http://www.w3.org/2001/XMLSchema" xmlns:p="http://schemas.microsoft.com/office/2006/metadata/properties" xmlns:ns2="2cbe5c7c-60fe-4079-a657-ebe0009c16ac" xmlns:ns3="a8ed3ec5-3efe-4a43-9bbb-9aee6961373d" targetNamespace="http://schemas.microsoft.com/office/2006/metadata/properties" ma:root="true" ma:fieldsID="5b043643fa676abc14ad817e89e1f61b" ns2:_="" ns3:_="">
    <xsd:import namespace="2cbe5c7c-60fe-4079-a657-ebe0009c16ac"/>
    <xsd:import namespace="a8ed3ec5-3efe-4a43-9bbb-9aee6961373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be5c7c-60fe-4079-a657-ebe0009c16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eb54176-625d-42d2-9b53-67629eeedb8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ed3ec5-3efe-4a43-9bbb-9aee6961373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3917ae6-03e4-4c56-9e4d-a22802a8458a}" ma:internalName="TaxCatchAll" ma:showField="CatchAllData" ma:web="a8ed3ec5-3efe-4a43-9bbb-9aee696137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ed3ec5-3efe-4a43-9bbb-9aee6961373d" xsi:nil="true"/>
    <lcf76f155ced4ddcb4097134ff3c332f xmlns="2cbe5c7c-60fe-4079-a657-ebe0009c16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CC0773-D268-4FEE-B4EE-5C32548E1461}"/>
</file>

<file path=customXml/itemProps2.xml><?xml version="1.0" encoding="utf-8"?>
<ds:datastoreItem xmlns:ds="http://schemas.openxmlformats.org/officeDocument/2006/customXml" ds:itemID="{4F42D659-B651-4B55-B214-78B796069AB3}">
  <ds:schemaRefs>
    <ds:schemaRef ds:uri="http://schemas.microsoft.com/sharepoint/v3/contenttype/forms"/>
  </ds:schemaRefs>
</ds:datastoreItem>
</file>

<file path=customXml/itemProps3.xml><?xml version="1.0" encoding="utf-8"?>
<ds:datastoreItem xmlns:ds="http://schemas.openxmlformats.org/officeDocument/2006/customXml" ds:itemID="{F02A983D-6899-4824-A7CE-4D0E89F197A4}"/>
</file>

<file path=docProps/app.xml><?xml version="1.0" encoding="utf-8"?>
<Properties xmlns="http://schemas.openxmlformats.org/officeDocument/2006/extended-properties" xmlns:vt="http://schemas.openxmlformats.org/officeDocument/2006/docPropsVTypes">
  <Template>Normal.dotm</Template>
  <TotalTime>35</TotalTime>
  <Application>LibreOffice/25.2.7.2$Windows_X86_64 LibreOffice_project/5cbfd1ab6520636bb5f7b99185aa69bd7456825d</Application>
  <AppVersion>15.0000</AppVersion>
  <Pages>3</Pages>
  <Words>1197</Words>
  <Characters>6609</Characters>
  <CharactersWithSpaces>7731</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2023-12-18T14:30:00Z</dcterms:created>
  <dc:creator/>
  <dc:description/>
  <dc:language>en-GB</dc:language>
  <cp:lastModifiedBy/>
  <dcterms:modified xsi:type="dcterms:W3CDTF">2026-06-30T19:16:54Z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0x010100AD3D18740FB0F84181B0F37C208DA890</vt:lpwstr>
  </property>
</Properties>
</file>