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Calibri Light" w:hAnsi="Calibri Light" w:cs="Calibri Light"/>
          <w:b/>
          <w:b/>
          <w:sz w:val="32"/>
          <w:szCs w:val="32"/>
          <w:u w:val="single"/>
        </w:rPr>
      </w:pPr>
      <w:r>
        <w:rPr>
          <w:rFonts w:cs="Calibri Light" w:ascii="Calibri Light" w:hAnsi="Calibri Light"/>
          <w:b/>
          <w:sz w:val="32"/>
          <w:szCs w:val="32"/>
          <w:u w:val="single"/>
        </w:rPr>
        <w:t>The Night Shelter</w:t>
      </w:r>
    </w:p>
    <w:p>
      <w:pPr>
        <w:pStyle w:val="Normal"/>
        <w:spacing w:lineRule="auto" w:line="240" w:before="0" w:after="0"/>
        <w:jc w:val="center"/>
        <w:rPr>
          <w:rFonts w:ascii="Calibri Light" w:hAnsi="Calibri Light" w:cs="Calibri Light"/>
          <w:b/>
          <w:b/>
          <w:sz w:val="32"/>
          <w:szCs w:val="32"/>
          <w:u w:val="single"/>
        </w:rPr>
      </w:pPr>
      <w:r>
        <w:rPr>
          <w:rFonts w:cs="Calibri Light" w:ascii="Calibri Light" w:hAnsi="Calibri Light"/>
          <w:b/>
          <w:sz w:val="32"/>
          <w:szCs w:val="32"/>
          <w:u w:val="single"/>
        </w:rPr>
        <w:t>Financial Controls Policy</w:t>
      </w:r>
    </w:p>
    <w:p>
      <w:pPr>
        <w:pStyle w:val="Normal"/>
        <w:spacing w:lineRule="auto" w:line="240" w:before="0" w:after="0"/>
        <w:jc w:val="center"/>
        <w:rPr>
          <w:rFonts w:ascii="Calibri Light" w:hAnsi="Calibri Light" w:cs="Calibri Light"/>
        </w:rPr>
      </w:pPr>
      <w:r>
        <w:rPr>
          <w:rFonts w:cs="Calibri Light" w:ascii="Calibri Light" w:hAnsi="Calibri Light"/>
        </w:rPr>
        <w:t>(Agreed 13</w:t>
      </w:r>
      <w:r>
        <w:rPr>
          <w:rFonts w:cs="Calibri Light" w:ascii="Calibri Light" w:hAnsi="Calibri Light"/>
          <w:vertAlign w:val="superscript"/>
        </w:rPr>
        <w:t>th</w:t>
      </w:r>
      <w:r>
        <w:rPr>
          <w:rFonts w:cs="Calibri Light" w:ascii="Calibri Light" w:hAnsi="Calibri Light"/>
        </w:rPr>
        <w:t xml:space="preserve"> November 2018)</w:t>
      </w:r>
    </w:p>
    <w:p>
      <w:pPr>
        <w:pStyle w:val="Normal"/>
        <w:spacing w:lineRule="auto" w:line="240" w:before="0" w:after="0"/>
        <w:rPr>
          <w:rFonts w:ascii="Calibri Light" w:hAnsi="Calibri Light" w:cs="Calibri Light"/>
          <w:sz w:val="32"/>
          <w:szCs w:val="32"/>
        </w:rPr>
      </w:pPr>
      <w:r>
        <w:rPr>
          <w:rFonts w:cs="Calibri Light" w:ascii="Calibri Light" w:hAnsi="Calibri Light"/>
          <w:sz w:val="32"/>
          <w:szCs w:val="32"/>
        </w:rPr>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t>Financial Records and Accounts</w:t>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r>
    </w:p>
    <w:p>
      <w:pPr>
        <w:pStyle w:val="ListParagraph"/>
        <w:numPr>
          <w:ilvl w:val="0"/>
          <w:numId w:val="1"/>
        </w:numPr>
        <w:spacing w:lineRule="auto" w:line="240" w:before="0" w:after="0"/>
        <w:ind w:left="426" w:hanging="142"/>
        <w:contextualSpacing/>
        <w:rPr>
          <w:rFonts w:ascii="Calibri Light" w:hAnsi="Calibri Light" w:cs="Calibri Light"/>
          <w:sz w:val="24"/>
          <w:szCs w:val="24"/>
        </w:rPr>
      </w:pPr>
      <w:r>
        <w:rPr>
          <w:rFonts w:cs="Calibri Light" w:ascii="Calibri Light" w:hAnsi="Calibri Light"/>
          <w:sz w:val="24"/>
          <w:szCs w:val="24"/>
        </w:rPr>
        <w:t>Financial records must be kept so that:</w:t>
      </w:r>
    </w:p>
    <w:p>
      <w:pPr>
        <w:pStyle w:val="ListParagraph"/>
        <w:numPr>
          <w:ilvl w:val="0"/>
          <w:numId w:val="2"/>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organisation meets its legal and other statutory obligations, such as Charity Acts, Her Majesty s Revenue &amp; Customs and common law.</w:t>
      </w:r>
    </w:p>
    <w:p>
      <w:pPr>
        <w:pStyle w:val="ListParagraph"/>
        <w:numPr>
          <w:ilvl w:val="0"/>
          <w:numId w:val="2"/>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trustees have proper financial control of the organisation.</w:t>
      </w:r>
    </w:p>
    <w:p>
      <w:pPr>
        <w:pStyle w:val="ListParagraph"/>
        <w:numPr>
          <w:ilvl w:val="0"/>
          <w:numId w:val="2"/>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organisation meets the contractual obligations and requirements of funders.</w:t>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ListParagraph"/>
        <w:numPr>
          <w:ilvl w:val="0"/>
          <w:numId w:val="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books of accounts must include:</w:t>
      </w:r>
    </w:p>
    <w:p>
      <w:pPr>
        <w:pStyle w:val="ListParagraph"/>
        <w:numPr>
          <w:ilvl w:val="0"/>
          <w:numId w:val="3"/>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 cash book analysing all the transactions appearing on the bank accounts</w:t>
      </w:r>
    </w:p>
    <w:p>
      <w:pPr>
        <w:pStyle w:val="ListParagraph"/>
        <w:numPr>
          <w:ilvl w:val="0"/>
          <w:numId w:val="3"/>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 petty cash book if cash payments are being made.</w:t>
      </w:r>
    </w:p>
    <w:p>
      <w:pPr>
        <w:pStyle w:val="ListParagraph"/>
        <w:numPr>
          <w:ilvl w:val="0"/>
          <w:numId w:val="3"/>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Inland Revenue deduction cards P11 (if registered for PAYE) - unless payroll is outsourced.</w:t>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ListParagraph"/>
        <w:numPr>
          <w:ilvl w:val="0"/>
          <w:numId w:val="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Accounts must be drawn up at the end of each financial year within 3 months of the financial year end and presented to the next Annual General Meeting.</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ListParagraph"/>
        <w:numPr>
          <w:ilvl w:val="0"/>
          <w:numId w:val="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Prior to the start of each financial year, the trustees will approve a budgeted income and expenditure account for the following year.</w:t>
      </w:r>
    </w:p>
    <w:p>
      <w:pPr>
        <w:pStyle w:val="ListParagraph"/>
        <w:rPr>
          <w:rFonts w:ascii="Calibri Light" w:hAnsi="Calibri Light" w:cs="Calibri Light"/>
          <w:sz w:val="24"/>
          <w:szCs w:val="24"/>
        </w:rPr>
      </w:pPr>
      <w:r>
        <w:rPr>
          <w:rFonts w:cs="Calibri Light" w:ascii="Calibri Light" w:hAnsi="Calibri Light"/>
          <w:sz w:val="24"/>
          <w:szCs w:val="24"/>
        </w:rPr>
      </w:r>
    </w:p>
    <w:p>
      <w:pPr>
        <w:pStyle w:val="ListParagraph"/>
        <w:numPr>
          <w:ilvl w:val="0"/>
          <w:numId w:val="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 report comparing actual income and expenditure with the budget should be presented to the trustees every three months or whenever meetings take place</w:t>
      </w:r>
    </w:p>
    <w:p>
      <w:pPr>
        <w:pStyle w:val="ListParagraph"/>
        <w:rPr>
          <w:rFonts w:ascii="Calibri Light" w:hAnsi="Calibri Light" w:cs="Calibri Light"/>
          <w:sz w:val="24"/>
          <w:szCs w:val="24"/>
        </w:rPr>
      </w:pPr>
      <w:r>
        <w:rPr>
          <w:rFonts w:cs="Calibri Light" w:ascii="Calibri Light" w:hAnsi="Calibri Light"/>
          <w:sz w:val="24"/>
          <w:szCs w:val="24"/>
        </w:rPr>
      </w:r>
    </w:p>
    <w:p>
      <w:pPr>
        <w:pStyle w:val="ListParagraph"/>
        <w:numPr>
          <w:ilvl w:val="0"/>
          <w:numId w:val="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AGM will appoint an appropriately qualified auditor/ independent examiner to auditor examine the accounts before presentation to the next AGM.</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t>Banking</w:t>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r>
    </w:p>
    <w:p>
      <w:pPr>
        <w:pStyle w:val="ListParagraph"/>
        <w:numPr>
          <w:ilvl w:val="0"/>
          <w:numId w:val="7"/>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Charity will bank with The Yorkshire Bank and accounts will be held in the name of The Night Shelter. The following accounts will be maintained:</w:t>
      </w:r>
    </w:p>
    <w:p>
      <w:pPr>
        <w:pStyle w:val="ListParagraph"/>
        <w:numPr>
          <w:ilvl w:val="0"/>
          <w:numId w:val="4"/>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Current Account</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ListParagraph"/>
        <w:numPr>
          <w:ilvl w:val="0"/>
          <w:numId w:val="7"/>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bank mandate (list of people who can sign cheques on the organisations behalf) will always be approved and minuted by the trustees as will any changes to it.</w:t>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ListParagraph"/>
        <w:numPr>
          <w:ilvl w:val="0"/>
          <w:numId w:val="7"/>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charity will require the bank to provide statements every month and these will be reconciled with the cash book at least every three months and the treasurer will spot check that this reconciliation has been done at least twice a year, signing the cash book accordingly.</w:t>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ListParagraph"/>
        <w:numPr>
          <w:ilvl w:val="0"/>
          <w:numId w:val="8"/>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charity will not use any other bank or financial institution or use overdraft facilities or loan without of the agreement of the trustees.</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t>Income</w:t>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All monies received will be recorded promptly in the cash analysis book and banked without delay (this includes sundry receipts such as payment for telephone calls, photocopying etc.). The Charity will maintain files of documentation to back this up. Documentation should include:</w:t>
      </w:r>
    </w:p>
    <w:p>
      <w:pPr>
        <w:pStyle w:val="ListParagraph"/>
        <w:numPr>
          <w:ilvl w:val="0"/>
          <w:numId w:val="13"/>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Date income received and paid into bank</w:t>
      </w:r>
    </w:p>
    <w:p>
      <w:pPr>
        <w:pStyle w:val="ListParagraph"/>
        <w:numPr>
          <w:ilvl w:val="0"/>
          <w:numId w:val="13"/>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Cost code</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t>Payments (expenditure)</w:t>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aim is to ensure that all expenditure is on the charity's business and is properly authorised and that this can be demonstrated. The latest approved budget provides the cheque signatories with authority to spend up to the budgeted expenditure, not beyond it.</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charity will maintain a cheque book, debit card and online banking facility; and a petty cash facility.</w:t>
      </w:r>
    </w:p>
    <w:p>
      <w:pPr>
        <w:pStyle w:val="ListParagraph"/>
        <w:rPr>
          <w:rFonts w:ascii="Calibri Light" w:hAnsi="Calibri Light" w:cs="Calibri Light"/>
          <w:sz w:val="24"/>
          <w:szCs w:val="24"/>
        </w:rPr>
      </w:pPr>
      <w:r>
        <w:rPr>
          <w:rFonts w:cs="Calibri Light" w:ascii="Calibri Light" w:hAnsi="Calibri Light"/>
          <w:sz w:val="24"/>
          <w:szCs w:val="24"/>
        </w:rPr>
      </w:r>
    </w:p>
    <w:p>
      <w:pPr>
        <w:pStyle w:val="ListParagraph"/>
        <w:rPr>
          <w:rFonts w:ascii="Calibri Light" w:hAnsi="Calibri Light" w:cs="Calibri Light"/>
          <w:sz w:val="24"/>
          <w:szCs w:val="24"/>
        </w:rPr>
      </w:pPr>
      <w:r>
        <w:rPr>
          <w:rFonts w:cs="Calibri Light" w:ascii="Calibri Light" w:hAnsi="Calibri Light"/>
          <w:sz w:val="24"/>
          <w:szCs w:val="24"/>
        </w:rPr>
        <w:t>Cheques</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salaried staff member</w:t>
      </w:r>
      <w:r>
        <w:rPr>
          <w:rFonts w:cs="Calibri Light" w:ascii="Calibri Light" w:hAnsi="Calibri Light"/>
          <w:i/>
          <w:sz w:val="24"/>
          <w:szCs w:val="24"/>
        </w:rPr>
        <w:t xml:space="preserve"> </w:t>
      </w:r>
      <w:r>
        <w:rPr>
          <w:rFonts w:cs="Calibri Light" w:ascii="Calibri Light" w:hAnsi="Calibri Light"/>
          <w:sz w:val="24"/>
          <w:szCs w:val="24"/>
        </w:rPr>
        <w:t>will be responsible for holding the cheque books (including unused and partly used cheque books) and bank cards which should be kept under lock and key.</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Blank cheques will NEVER be signed.</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relevant payee's name will always be inserted on the cheque before signature and the cheque stub will always be properly completed.</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No cheques should be signed without original documentation (see below).</w:t>
      </w:r>
    </w:p>
    <w:p>
      <w:pPr>
        <w:pStyle w:val="ListParagraph"/>
        <w:rPr>
          <w:rFonts w:ascii="Calibri Light" w:hAnsi="Calibri Light" w:cs="Calibri Light"/>
          <w:sz w:val="24"/>
          <w:szCs w:val="24"/>
        </w:rPr>
      </w:pPr>
      <w:r>
        <w:rPr>
          <w:rFonts w:cs="Calibri Light" w:ascii="Calibri Light" w:hAnsi="Calibri Light"/>
          <w:sz w:val="24"/>
          <w:szCs w:val="24"/>
        </w:rPr>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t>Debit Cards</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Trustees are responsible for the issue of debit cards</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debit card must have an individual and monthly transaction limit.</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Card details and PIN numbers must not be disclosed, other than using the card for payments. Cardholders will be held personally liable for any expenditure they cannot account for.</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All receipts and other documentation received from a purchasing transaction with be filed methodically for audit purposes.</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Debit cards shall only be used for authorised purchases. Under no circumstances shall they be used for personal expenditure.</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Cash withdrawals on the debit card must be authorised and documented within the relevant petty cash system.</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All transactions must be reconciled with the relevant documentation each month.</w:t>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Normal"/>
        <w:spacing w:lineRule="auto" w:line="240" w:before="0" w:after="0"/>
        <w:ind w:firstLine="720"/>
        <w:rPr>
          <w:rFonts w:ascii="Calibri Light" w:hAnsi="Calibri Light" w:cs="Calibri Light"/>
          <w:sz w:val="24"/>
          <w:szCs w:val="24"/>
        </w:rPr>
      </w:pPr>
      <w:r>
        <w:rPr>
          <w:rFonts w:cs="Calibri Light" w:ascii="Calibri Light" w:hAnsi="Calibri Light"/>
          <w:sz w:val="24"/>
          <w:szCs w:val="24"/>
        </w:rPr>
        <w:t>Online Banking</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Trustees are responsible for granting access to the online banking system</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Online transfers must have an individual and monthly transaction limit.</w:t>
      </w:r>
    </w:p>
    <w:p>
      <w:pPr>
        <w:pStyle w:val="ListParagraph"/>
        <w:numPr>
          <w:ilvl w:val="0"/>
          <w:numId w:val="5"/>
        </w:numPr>
        <w:rPr>
          <w:rFonts w:ascii="Calibri Light" w:hAnsi="Calibri Light" w:cs="Calibri Light"/>
          <w:sz w:val="24"/>
          <w:szCs w:val="24"/>
        </w:rPr>
      </w:pPr>
      <w:r>
        <w:rPr>
          <w:rFonts w:cs="Calibri Light" w:ascii="Calibri Light" w:hAnsi="Calibri Light"/>
          <w:sz w:val="24"/>
          <w:szCs w:val="24"/>
        </w:rPr>
        <w:t>Login details and PIN numbers must not be disclosed, other than using logging into the system. Online banking users will be held personally liable for any expenditure they cannot account for.</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All receipts and other documentation received from a purchasing transaction with be filed methodically for audit purposes.</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Online banking transfers shall only be used for authorised purchases. Under no circumstances shall they be used for personal expenditure</w:t>
      </w:r>
      <w:bookmarkStart w:id="0" w:name="_GoBack"/>
      <w:bookmarkEnd w:id="0"/>
      <w:r>
        <w:rPr>
          <w:rFonts w:cs="Calibri Light" w:ascii="Calibri Light" w:hAnsi="Calibri Light"/>
          <w:sz w:val="24"/>
          <w:szCs w:val="24"/>
        </w:rPr>
        <w:t>.</w:t>
      </w:r>
    </w:p>
    <w:p>
      <w:pPr>
        <w:pStyle w:val="ListParagraph"/>
        <w:numPr>
          <w:ilvl w:val="0"/>
          <w:numId w:val="5"/>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All transactions must be reconciled with the relevant documentation each month.</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t>Payment Documentation</w:t>
      </w:r>
    </w:p>
    <w:p>
      <w:pPr>
        <w:pStyle w:val="ListParagraph"/>
        <w:rPr>
          <w:rFonts w:ascii="Calibri Light" w:hAnsi="Calibri Light" w:cs="Calibri Light"/>
          <w:sz w:val="24"/>
          <w:szCs w:val="24"/>
        </w:rPr>
      </w:pPr>
      <w:r>
        <w:rPr>
          <w:rFonts w:cs="Calibri Light" w:ascii="Calibri Light" w:hAnsi="Calibri Light"/>
          <w:sz w:val="24"/>
          <w:szCs w:val="24"/>
        </w:rPr>
      </w:r>
    </w:p>
    <w:p>
      <w:pPr>
        <w:pStyle w:val="ListParagraph"/>
        <w:numPr>
          <w:ilvl w:val="0"/>
          <w:numId w:val="9"/>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Every payment out of the Charity's bank accounts will be evidenced by an original invoice (never against a supplier's statement or final demand). That original invoice will be retained by the Charity and filed. The cheque signatory/ Admin Officer should ensure that it is referenced with:</w:t>
      </w:r>
    </w:p>
    <w:p>
      <w:pPr>
        <w:pStyle w:val="ListParagraph"/>
        <w:numPr>
          <w:ilvl w:val="0"/>
          <w:numId w:val="10"/>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Cheque number</w:t>
      </w:r>
    </w:p>
    <w:p>
      <w:pPr>
        <w:pStyle w:val="ListParagraph"/>
        <w:numPr>
          <w:ilvl w:val="0"/>
          <w:numId w:val="10"/>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Date cheque drawn</w:t>
      </w:r>
    </w:p>
    <w:p>
      <w:pPr>
        <w:pStyle w:val="ListParagraph"/>
        <w:numPr>
          <w:ilvl w:val="0"/>
          <w:numId w:val="10"/>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Amount of cheque</w:t>
      </w:r>
    </w:p>
    <w:p>
      <w:pPr>
        <w:pStyle w:val="ListParagraph"/>
        <w:numPr>
          <w:ilvl w:val="0"/>
          <w:numId w:val="10"/>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Cost code</w:t>
      </w:r>
    </w:p>
    <w:p>
      <w:pPr>
        <w:pStyle w:val="ListParagraph"/>
        <w:numPr>
          <w:ilvl w:val="0"/>
          <w:numId w:val="10"/>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Signature authorisation for payment</w:t>
      </w:r>
    </w:p>
    <w:p>
      <w:pPr>
        <w:pStyle w:val="ListParagraph"/>
        <w:spacing w:lineRule="auto" w:line="240" w:before="0" w:after="0"/>
        <w:ind w:left="1440" w:hanging="0"/>
        <w:contextualSpacing/>
        <w:rPr>
          <w:rFonts w:ascii="Calibri Light" w:hAnsi="Calibri Light" w:cs="Calibri Light"/>
          <w:sz w:val="24"/>
          <w:szCs w:val="24"/>
        </w:rPr>
      </w:pPr>
      <w:r>
        <w:rPr>
          <w:rFonts w:cs="Calibri Light" w:ascii="Calibri Light" w:hAnsi="Calibri Light"/>
          <w:sz w:val="24"/>
          <w:szCs w:val="24"/>
        </w:rPr>
      </w:r>
    </w:p>
    <w:p>
      <w:pPr>
        <w:pStyle w:val="ListParagraph"/>
        <w:numPr>
          <w:ilvl w:val="0"/>
          <w:numId w:val="9"/>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only exceptions to cheques not being supported by an original invoice are Items such as advanced booking fees for a future course, deposit for a venue, VAT, etc. Here written documentation from the Trustees and a photocopy of the cheque will be kept kept.</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ListParagraph"/>
        <w:numPr>
          <w:ilvl w:val="0"/>
          <w:numId w:val="9"/>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Wages and Salaries. There will be a clear trail to show the authority and reason for EVERY such payment; e.g. a cheque requisition form asking for payment to an employee, HMRC etc. All employees will be paid within the PAYE and National Insurance regulations.</w:t>
      </w:r>
    </w:p>
    <w:p>
      <w:pPr>
        <w:pStyle w:val="Normal"/>
        <w:spacing w:lineRule="auto" w:line="240" w:before="0" w:after="0"/>
        <w:ind w:left="720" w:hanging="0"/>
        <w:rPr>
          <w:rFonts w:ascii="Calibri Light" w:hAnsi="Calibri Light" w:cs="Calibri Light"/>
          <w:sz w:val="24"/>
          <w:szCs w:val="24"/>
        </w:rPr>
      </w:pPr>
      <w:r>
        <w:rPr>
          <w:rFonts w:cs="Calibri Light" w:ascii="Calibri Light" w:hAnsi="Calibri Light"/>
          <w:sz w:val="24"/>
          <w:szCs w:val="24"/>
        </w:rPr>
        <w:t>Recording on the accounts - Details of basic salary and PAYE shall be documented on an individual basis on the accounts by cost centre.</w:t>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ListParagraph"/>
        <w:numPr>
          <w:ilvl w:val="0"/>
          <w:numId w:val="9"/>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All staff appointments/departures will be authorised by the trustees, minuting the dates and salary level. Similarly, all changes in hours and variable payments such as overtime, etc., will be authorised either by the trustees.</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ListParagraph"/>
        <w:numPr>
          <w:ilvl w:val="0"/>
          <w:numId w:val="9"/>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If a Petty Cash system is in operation:</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t>Petty cash will always be maintained on a general ledger system whereby the Co-ordinator is entrusted with a float as agreed by the trustees. When that is more or less expended cash may be withdrawn to bring the float to the agreed sum. A full record of all petty cash transactions and receipts will be kept with the accounts.</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ListParagraph"/>
        <w:numPr>
          <w:ilvl w:val="0"/>
          <w:numId w:val="9"/>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Expenses / allowances.</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Charity will reimburse expenditure paid for personally by staff, providing:</w:t>
      </w:r>
    </w:p>
    <w:p>
      <w:pPr>
        <w:pStyle w:val="ListParagraph"/>
        <w:numPr>
          <w:ilvl w:val="0"/>
          <w:numId w:val="14"/>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 xml:space="preserve">An expenses reimbursement form is completed and authorised by a cheque signatory with the relevant evidence attached. </w:t>
      </w:r>
    </w:p>
    <w:p>
      <w:pPr>
        <w:pStyle w:val="ListParagraph"/>
        <w:numPr>
          <w:ilvl w:val="0"/>
          <w:numId w:val="1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Fares are evidenced by tickets.</w:t>
      </w:r>
    </w:p>
    <w:p>
      <w:pPr>
        <w:pStyle w:val="ListParagraph"/>
        <w:numPr>
          <w:ilvl w:val="0"/>
          <w:numId w:val="1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Other expenditure is evidenced by original receipts.</w:t>
      </w:r>
    </w:p>
    <w:p>
      <w:pPr>
        <w:pStyle w:val="ListParagraph"/>
        <w:numPr>
          <w:ilvl w:val="0"/>
          <w:numId w:val="1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Car mileage is based on voluntary sector rates</w:t>
      </w:r>
    </w:p>
    <w:p>
      <w:pPr>
        <w:pStyle w:val="ListParagraph"/>
        <w:numPr>
          <w:ilvl w:val="0"/>
          <w:numId w:val="1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No cheque signatory signs for the payment of expenses to themselves.</w:t>
      </w:r>
    </w:p>
    <w:p>
      <w:pPr>
        <w:pStyle w:val="ListParagraph"/>
        <w:numPr>
          <w:ilvl w:val="0"/>
          <w:numId w:val="11"/>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Cheque signatories expenses claim forms are authorised by another trustee.</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t>Cheque Signatures</w:t>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ListParagraph"/>
        <w:numPr>
          <w:ilvl w:val="0"/>
          <w:numId w:val="6"/>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Each cheque will be signed by at least two people.</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ListParagraph"/>
        <w:numPr>
          <w:ilvl w:val="0"/>
          <w:numId w:val="6"/>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 xml:space="preserve">A cheque must </w:t>
      </w:r>
      <w:r>
        <w:rPr>
          <w:rFonts w:cs="Calibri Light" w:ascii="Calibri Light" w:hAnsi="Calibri Light"/>
          <w:b/>
          <w:sz w:val="24"/>
          <w:szCs w:val="24"/>
        </w:rPr>
        <w:t xml:space="preserve">not </w:t>
      </w:r>
      <w:r>
        <w:rPr>
          <w:rFonts w:cs="Calibri Light" w:ascii="Calibri Light" w:hAnsi="Calibri Light"/>
          <w:sz w:val="24"/>
          <w:szCs w:val="24"/>
        </w:rPr>
        <w:t>be signed by the person to whom it is payable (you will have to ensure that you have enough signatories on your bank mandate)</w:t>
      </w:r>
    </w:p>
    <w:p>
      <w:pPr>
        <w:pStyle w:val="ListParagraph"/>
        <w:rPr>
          <w:rFonts w:ascii="Calibri Light" w:hAnsi="Calibri Light" w:cs="Calibri Light"/>
          <w:sz w:val="24"/>
          <w:szCs w:val="24"/>
        </w:rPr>
      </w:pPr>
      <w:r>
        <w:rPr>
          <w:rFonts w:cs="Calibri Light" w:ascii="Calibri Light" w:hAnsi="Calibri Light"/>
          <w:sz w:val="24"/>
          <w:szCs w:val="24"/>
        </w:rPr>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t>Other rules</w:t>
      </w:r>
    </w:p>
    <w:p>
      <w:pPr>
        <w:pStyle w:val="Normal"/>
        <w:spacing w:lineRule="auto" w:line="240" w:before="0" w:after="0"/>
        <w:rPr>
          <w:rFonts w:ascii="Calibri Light" w:hAnsi="Calibri Light" w:cs="Calibri Light"/>
          <w:b/>
          <w:b/>
          <w:bCs/>
          <w:sz w:val="24"/>
          <w:szCs w:val="24"/>
        </w:rPr>
      </w:pPr>
      <w:r>
        <w:rPr>
          <w:rFonts w:cs="Calibri Light" w:ascii="Calibri Light" w:hAnsi="Calibri Light"/>
          <w:b/>
          <w:bCs/>
          <w:sz w:val="24"/>
          <w:szCs w:val="24"/>
        </w:rPr>
      </w:r>
    </w:p>
    <w:p>
      <w:pPr>
        <w:pStyle w:val="ListParagraph"/>
        <w:numPr>
          <w:ilvl w:val="0"/>
          <w:numId w:val="12"/>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 xml:space="preserve">The Charity does not accept liability for any financial commitment unless properly authorised. Any orders placed or undertakings given which are likely to cost the Charity in excess of </w:t>
      </w:r>
      <w:r>
        <w:rPr>
          <w:rFonts w:cs="Calibri Light" w:ascii="Calibri Light" w:hAnsi="Calibri Light"/>
          <w:i/>
          <w:sz w:val="24"/>
          <w:szCs w:val="24"/>
          <w:highlight w:val="yellow"/>
        </w:rPr>
        <w:t>£</w:t>
      </w:r>
      <w:r>
        <w:rPr>
          <w:rFonts w:cs="Calibri Light" w:ascii="Calibri Light" w:hAnsi="Calibri Light"/>
          <w:i/>
          <w:sz w:val="24"/>
          <w:szCs w:val="24"/>
          <w:highlight w:val="yellow"/>
        </w:rPr>
        <w:t>1000</w:t>
      </w:r>
      <w:r>
        <w:rPr>
          <w:rFonts w:cs="Calibri Light" w:ascii="Calibri Light" w:hAnsi="Calibri Light"/>
          <w:sz w:val="24"/>
          <w:szCs w:val="24"/>
        </w:rPr>
        <w:t xml:space="preserve"> must be authorised and minuted by the trustees.</w:t>
      </w:r>
    </w:p>
    <w:p>
      <w:pPr>
        <w:pStyle w:val="ListParagraph"/>
        <w:numPr>
          <w:ilvl w:val="0"/>
          <w:numId w:val="12"/>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Trustees will be notified of any donations of over £</w:t>
      </w:r>
      <w:r>
        <w:rPr>
          <w:rFonts w:cs="Calibri Light" w:ascii="Calibri Light" w:hAnsi="Calibri Light"/>
          <w:sz w:val="24"/>
          <w:szCs w:val="24"/>
        </w:rPr>
        <w:t>1000</w:t>
      </w:r>
      <w:r>
        <w:rPr>
          <w:rFonts w:cs="Calibri Light" w:ascii="Calibri Light" w:hAnsi="Calibri Light"/>
          <w:sz w:val="24"/>
          <w:szCs w:val="24"/>
        </w:rPr>
        <w:t xml:space="preserve"> from a single source, as a single transaction or over the course of a calendar month.</w:t>
      </w:r>
    </w:p>
    <w:p>
      <w:pPr>
        <w:pStyle w:val="ListParagraph"/>
        <w:spacing w:lineRule="auto" w:line="240" w:before="0" w:after="0"/>
        <w:contextualSpacing/>
        <w:rPr>
          <w:rFonts w:ascii="Calibri Light" w:hAnsi="Calibri Light" w:cs="Calibri Light"/>
          <w:sz w:val="24"/>
          <w:szCs w:val="24"/>
        </w:rPr>
      </w:pPr>
      <w:r>
        <w:rPr>
          <w:rFonts w:cs="Calibri Light" w:ascii="Calibri Light" w:hAnsi="Calibri Light"/>
          <w:sz w:val="24"/>
          <w:szCs w:val="24"/>
        </w:rPr>
      </w:r>
    </w:p>
    <w:p>
      <w:pPr>
        <w:pStyle w:val="ListParagraph"/>
        <w:numPr>
          <w:ilvl w:val="0"/>
          <w:numId w:val="12"/>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In exceptional circumstances such undertakings can be made with the Chairperson's approval, who will then provide full details to the next meeting of the trustees. (This covers such items as the new service contracts, office equipment, purchase and hire).</w:t>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ListParagraph"/>
        <w:numPr>
          <w:ilvl w:val="0"/>
          <w:numId w:val="12"/>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All fundraising and grant applications undertaken on behalf of the organisation will be done in the name of the Charity with the prior approval of the trustees or in urgent situations the approval of the Chairperson who will provide full details to the next trustee's meeting.</w:t>
      </w:r>
    </w:p>
    <w:p>
      <w:pPr>
        <w:pStyle w:val="Normal"/>
        <w:spacing w:lineRule="auto" w:line="240" w:before="0" w:after="0"/>
        <w:rPr>
          <w:rFonts w:ascii="Calibri Light" w:hAnsi="Calibri Light" w:cs="Calibri Light"/>
          <w:sz w:val="24"/>
          <w:szCs w:val="24"/>
        </w:rPr>
      </w:pPr>
      <w:r>
        <w:rPr>
          <w:rFonts w:cs="Calibri Light" w:ascii="Calibri Light" w:hAnsi="Calibri Light"/>
          <w:sz w:val="24"/>
          <w:szCs w:val="24"/>
        </w:rPr>
      </w:r>
    </w:p>
    <w:p>
      <w:pPr>
        <w:pStyle w:val="ListParagraph"/>
        <w:numPr>
          <w:ilvl w:val="0"/>
          <w:numId w:val="12"/>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Charity will adhere to good practice in relation to its finances at all times, e.g. when relevant it will set up and maintain a fixed asset register stating the date of purchase, cost, serial numbers and normal location of assets. Additionally the Charity will maintain a property record of items of significant value, with an appropriate record of their use.</w:t>
      </w:r>
    </w:p>
    <w:p>
      <w:pPr>
        <w:pStyle w:val="ListParagraph"/>
        <w:rPr>
          <w:rFonts w:ascii="Calibri Light" w:hAnsi="Calibri Light" w:cs="Calibri Light"/>
          <w:sz w:val="24"/>
          <w:szCs w:val="24"/>
        </w:rPr>
      </w:pPr>
      <w:r>
        <w:rPr>
          <w:rFonts w:cs="Calibri Light" w:ascii="Calibri Light" w:hAnsi="Calibri Light"/>
          <w:sz w:val="24"/>
          <w:szCs w:val="24"/>
        </w:rPr>
      </w:r>
    </w:p>
    <w:p>
      <w:pPr>
        <w:pStyle w:val="ListParagraph"/>
        <w:numPr>
          <w:ilvl w:val="0"/>
          <w:numId w:val="12"/>
        </w:numPr>
        <w:spacing w:lineRule="auto" w:line="240" w:before="0" w:after="0"/>
        <w:contextualSpacing/>
        <w:rPr>
          <w:rFonts w:ascii="Calibri Light" w:hAnsi="Calibri Light" w:cs="Calibri Light"/>
          <w:sz w:val="24"/>
          <w:szCs w:val="24"/>
        </w:rPr>
      </w:pPr>
      <w:r>
        <w:rPr>
          <w:rFonts w:cs="Calibri Light" w:ascii="Calibri Light" w:hAnsi="Calibri Light"/>
          <w:sz w:val="24"/>
          <w:szCs w:val="24"/>
        </w:rPr>
        <w:t>The Charity must adhere to the HMRC guidelines on document retention as set out below to maintain good practice and a good reputation:</w:t>
      </w:r>
    </w:p>
    <w:p>
      <w:pPr>
        <w:pStyle w:val="ListParagraph"/>
        <w:rPr>
          <w:rFonts w:ascii="Calibri Light" w:hAnsi="Calibri Light" w:cs="Calibri Light"/>
          <w:sz w:val="24"/>
          <w:szCs w:val="24"/>
        </w:rPr>
      </w:pPr>
      <w:r>
        <w:rPr>
          <w:rFonts w:cs="Calibri Light" w:ascii="Calibri Light" w:hAnsi="Calibri Light"/>
          <w:sz w:val="24"/>
          <w:szCs w:val="24"/>
        </w:rPr>
      </w:r>
    </w:p>
    <w:p>
      <w:pPr>
        <w:pStyle w:val="Normal"/>
        <w:numPr>
          <w:ilvl w:val="0"/>
          <w:numId w:val="0"/>
        </w:numPr>
        <w:spacing w:lineRule="auto" w:line="240" w:beforeAutospacing="1" w:afterAutospacing="1"/>
        <w:outlineLvl w:val="2"/>
        <w:rPr>
          <w:rFonts w:ascii="Calibri Light" w:hAnsi="Calibri Light" w:eastAsia="Times New Roman" w:cs="Calibri Light"/>
          <w:b/>
          <w:b/>
          <w:bCs/>
          <w:sz w:val="27"/>
          <w:szCs w:val="27"/>
          <w:lang w:eastAsia="en-GB"/>
        </w:rPr>
      </w:pPr>
      <w:r>
        <w:rPr>
          <w:rFonts w:eastAsia="Times New Roman" w:cs="Calibri Light" w:ascii="Calibri Light" w:hAnsi="Calibri Light"/>
          <w:b/>
          <w:bCs/>
          <w:sz w:val="27"/>
          <w:szCs w:val="27"/>
          <w:lang w:eastAsia="en-GB"/>
        </w:rPr>
        <w:t>HMRC document retention policy</w:t>
      </w:r>
    </w:p>
    <w:p>
      <w:pPr>
        <w:pStyle w:val="Normal"/>
        <w:spacing w:lineRule="auto" w:line="240" w:beforeAutospacing="1" w:afterAutospacing="1"/>
        <w:rPr>
          <w:rFonts w:ascii="Calibri Light" w:hAnsi="Calibri Light" w:eastAsia="Times New Roman" w:cs="Calibri Light"/>
          <w:sz w:val="24"/>
          <w:szCs w:val="24"/>
          <w:lang w:eastAsia="en-GB"/>
        </w:rPr>
      </w:pPr>
      <w:r>
        <w:rPr>
          <w:rFonts w:eastAsia="Times New Roman" w:cs="Calibri Light" w:ascii="Calibri Light" w:hAnsi="Calibri Light"/>
          <w:sz w:val="24"/>
          <w:szCs w:val="24"/>
          <w:lang w:eastAsia="en-GB"/>
        </w:rPr>
        <w:t>Information held for longer than is necessary carries additional risk and cost. Records and information should only be retained for legitimate business use. Under the DPA 1998 personal data processed by HMRC must not be retained for longer than is necessary for its lawful purpose.</w:t>
      </w:r>
    </w:p>
    <w:p>
      <w:pPr>
        <w:pStyle w:val="Normal"/>
        <w:spacing w:lineRule="auto" w:line="240" w:beforeAutospacing="1" w:afterAutospacing="1"/>
        <w:rPr>
          <w:rFonts w:ascii="Calibri Light" w:hAnsi="Calibri Light" w:eastAsia="Times New Roman" w:cs="Calibri Light"/>
          <w:sz w:val="24"/>
          <w:szCs w:val="24"/>
          <w:lang w:eastAsia="en-GB"/>
        </w:rPr>
      </w:pPr>
      <w:r>
        <w:rPr>
          <w:rFonts w:eastAsia="Times New Roman" w:cs="Calibri Light" w:ascii="Calibri Light" w:hAnsi="Calibri Light"/>
          <w:sz w:val="24"/>
          <w:szCs w:val="24"/>
          <w:lang w:eastAsia="en-GB"/>
        </w:rPr>
        <w:t>The default standard retention period for HMRC records is 6 years plus current, otherwise known as 6 years + 1. This is defined as 6 years after the last entry in a record followed by first review and/or destruction to be carried out in the additional current (+ 1) accounting year.</w:t>
      </w:r>
    </w:p>
    <w:p>
      <w:pPr>
        <w:pStyle w:val="Normal"/>
        <w:spacing w:lineRule="auto" w:line="240" w:beforeAutospacing="1" w:afterAutospacing="1"/>
        <w:rPr>
          <w:rFonts w:ascii="Calibri Light" w:hAnsi="Calibri Light" w:eastAsia="Times New Roman" w:cs="Calibri Light"/>
          <w:sz w:val="24"/>
          <w:szCs w:val="24"/>
          <w:lang w:eastAsia="en-GB"/>
        </w:rPr>
      </w:pPr>
      <w:r>
        <w:rPr>
          <w:rFonts w:eastAsia="Times New Roman" w:cs="Calibri Light" w:ascii="Calibri Light" w:hAnsi="Calibri Light"/>
          <w:sz w:val="24"/>
          <w:szCs w:val="24"/>
          <w:lang w:eastAsia="en-GB"/>
        </w:rPr>
        <w:t>Records must only be retained beyond the default HMRC retention period if their retention can be justified for statutory, regulatory, legal or security reasons or for their historic value. The disposal periods for records retained for extended duration must be included within line of business retention schedules.</w:t>
      </w:r>
    </w:p>
    <w:p>
      <w:pPr>
        <w:pStyle w:val="Normal"/>
        <w:spacing w:lineRule="auto" w:line="240" w:beforeAutospacing="1" w:afterAutospacing="1"/>
        <w:rPr>
          <w:rFonts w:ascii="Calibri Light" w:hAnsi="Calibri Light" w:eastAsia="Times New Roman" w:cs="Calibri Light"/>
          <w:sz w:val="24"/>
          <w:szCs w:val="24"/>
          <w:lang w:eastAsia="en-GB"/>
        </w:rPr>
      </w:pPr>
      <w:r>
        <w:rPr>
          <w:rFonts w:eastAsia="Times New Roman" w:cs="Calibri Light" w:ascii="Calibri Light" w:hAnsi="Calibri Light"/>
          <w:sz w:val="24"/>
          <w:szCs w:val="24"/>
          <w:lang w:eastAsia="en-GB"/>
        </w:rPr>
        <w:t>The maximum retention period for HMRC records identified as having historic value is defined as 20 years after the last entry in the record, with an additional one calendar year for final review and transfer or destruction.</w:t>
      </w:r>
    </w:p>
    <w:p>
      <w:pPr>
        <w:pStyle w:val="Normal"/>
        <w:spacing w:lineRule="auto" w:line="240" w:beforeAutospacing="1" w:afterAutospacing="1"/>
        <w:rPr>
          <w:rFonts w:ascii="Calibri Light" w:hAnsi="Calibri Light" w:eastAsia="Times New Roman" w:cs="Calibri Light"/>
          <w:sz w:val="24"/>
          <w:szCs w:val="24"/>
          <w:lang w:eastAsia="en-GB"/>
        </w:rPr>
      </w:pPr>
      <w:r>
        <w:rPr>
          <w:rFonts w:eastAsia="Times New Roman" w:cs="Calibri Light" w:ascii="Calibri Light" w:hAnsi="Calibri Light"/>
          <w:sz w:val="24"/>
          <w:szCs w:val="24"/>
          <w:lang w:eastAsia="en-GB"/>
        </w:rPr>
        <w:t>Last reviewed 2024</w:t>
      </w:r>
    </w:p>
    <w:sectPr>
      <w:type w:val="nextPage"/>
      <w:pgSz w:w="11906" w:h="16838"/>
      <w:pgMar w:left="720" w:right="720" w:header="0" w:top="720" w:footer="0"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Calibri Light">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3">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4">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11">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12">
    <w:lvl w:ilvl="0">
      <w:start w:val="1"/>
      <w:numFmt w:val="decimal"/>
      <w:lvlText w:val="%1)"/>
      <w:lvlJc w:val="left"/>
      <w:pPr>
        <w:ind w:left="720" w:hanging="360"/>
      </w:pPr>
      <w:rPr>
        <w:rFonts w:eastAsia="Calibri"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14">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1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34"/>
    <w:qFormat/>
    <w:rsid w:val="006e100e"/>
    <w:pPr>
      <w:spacing w:before="0" w:after="20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LibreOffice/6.4.3.2$Windows_X86_64 LibreOffice_project/747b5d0ebf89f41c860ec2a39efd7cb15b54f2d8</Application>
  <Pages>4</Pages>
  <Words>1605</Words>
  <Characters>8157</Characters>
  <CharactersWithSpaces>9613</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2018-09-18T16:07:00Z</dcterms:created>
  <dc:creator>Win7</dc:creator>
  <dc:description/>
  <dc:language>en-GB</dc:language>
  <cp:lastModifiedBy/>
  <dcterms:modified xsi:type="dcterms:W3CDTF">2025-01-20T21:32:06Z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